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«Управление проектами»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p>
            <w:pPr>
              <w:jc w:val="center"/>
              <w:spacing w:after="0" w:line="240" w:lineRule="auto"/>
              <w:rPr>
                <w:sz w:val="22"/>
                <w:szCs w:val="22"/>
              </w:rPr>
            </w:pPr>
            <w:r>
              <w:rPr>
                <w:rFonts w:ascii="Times New Roman" w:hAnsi="Times New Roman" w:cs="Times New Roman"/>
                <w:color w:val="#000000"/>
                <w:sz w:val="22"/>
                <w:szCs w:val="22"/>
              </w:rPr>
              <w:t> Статистика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3"/>
        </w:trPr>
        <w:tc>
          <w:tcPr>
            <w:tcW w:w="3970" w:type="dxa"/>
          </w:tcPr>
          <w:p/>
        </w:tc>
        <w:tc>
          <w:tcPr>
            <w:tcW w:w="4679" w:type="dxa"/>
          </w:tcPr>
          <w:p/>
        </w:tc>
        <w:tc>
          <w:tcPr>
            <w:tcW w:w="993" w:type="dxa"/>
          </w:tcPr>
          <w:p/>
        </w:tc>
      </w:tr>
      <w:tr>
        <w:trPr>
          <w:trHeight w:hRule="exact" w:val="601.96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Проекты в системе функционального     и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отношениями со стейкхолдерами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и проекты как средства решения</w:t>
            </w:r>
          </w:p>
          <w:p>
            <w:pPr>
              <w:jc w:val="center"/>
              <w:spacing w:after="0" w:line="240" w:lineRule="auto"/>
              <w:rPr>
                <w:sz w:val="24"/>
                <w:szCs w:val="24"/>
              </w:rPr>
            </w:pPr>
            <w:r>
              <w:rPr>
                <w:rFonts w:ascii="Times New Roman" w:hAnsi="Times New Roman" w:cs="Times New Roman"/>
                <w:b/>
                <w:color w:val="#000000"/>
                <w:sz w:val="24"/>
                <w:szCs w:val="24"/>
              </w:rPr>
              <w:t> управленческих задач</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https://urait.ru/bcode/450707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финансирование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портфелем</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инструмент</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корпоративной</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https://urait.ru/bcode/451359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2024-2025_ФГОС3++2024_Маг-ОФО-Э(КУРиС)(24)_plx_Управление проектами</dc:title>
  <dc:creator>FastReport.NET</dc:creator>
</cp:coreProperties>
</file>